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Fôrvertavtale for hund</w:t>
      </w:r>
    </w:p>
    <w:p>
      <w:pPr>
        <w:spacing w:after="160"/>
      </w:pPr>
      <w:r>
        <w:rPr>
          <w:i/>
          <w:iCs/>
          <w:color w:val="64748B"/>
          <w:sz w:val="20"/>
          <w:szCs w:val="20"/>
        </w:rPr>
        <w:t xml:space="preserve">Avtale om plassering av hund hos fôrvert – oppdretter beholder avlsretten til vilkårene er oppfylt</w:t>
      </w:r>
    </w:p>
    <w:p>
      <w:pPr>
        <w:pStyle w:val="Heading2"/>
        <w:spacing w:after="80" w:before="240"/>
      </w:pPr>
      <w:r>
        <w:rPr>
          <w:b/>
          <w:bCs/>
          <w:color w:val="0F172A"/>
          <w:sz w:val="25"/>
          <w:szCs w:val="25"/>
        </w:rPr>
        <w:t xml:space="preserve">1. Partene</w:t>
      </w:r>
    </w:p>
    <w:p>
      <w:pPr>
        <w:spacing w:after="80"/>
      </w:pPr>
      <w:r>
        <w:rPr>
          <w:color w:val="334155"/>
          <w:sz w:val="21"/>
          <w:szCs w:val="21"/>
        </w:rPr>
        <w:t xml:space="preserve">Oppdretter (eier)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Kennelnavn</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Fôrvert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Hunden</w:t>
      </w:r>
    </w:p>
    <w:p>
      <w:pPr>
        <w:spacing w:after="0" w:before="120"/>
      </w:pPr>
      <w:r>
        <w:rPr>
          <w:color w:val="64748B"/>
          <w:sz w:val="19"/>
          <w:szCs w:val="19"/>
        </w:rPr>
        <w:t xml:space="preserve">Navn (registrert navn)</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NKK-registreringsnummer</w:t>
      </w:r>
    </w:p>
    <w:p>
      <w:pPr>
        <w:pBdr>
          <w:bottom w:val="single" w:color="CBD5E1" w:sz="6" w:space="4"/>
        </w:pBdr>
        <w:spacing w:after="140" w:before="40"/>
      </w:pPr>
      <w:r>
        <w:t xml:space="preserve"> </w:t>
      </w:r>
    </w:p>
    <w:p>
      <w:pPr>
        <w:spacing w:after="0" w:before="120"/>
      </w:pPr>
      <w:r>
        <w:rPr>
          <w:color w:val="64748B"/>
          <w:sz w:val="19"/>
          <w:szCs w:val="19"/>
        </w:rPr>
        <w:t xml:space="preserve">Microchip-/ID-nummer</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Eierforhold og formål</w:t>
      </w:r>
    </w:p>
    <w:p>
      <w:pPr>
        <w:spacing w:after="80"/>
      </w:pPr>
      <w:r>
        <w:rPr>
          <w:color w:val="334155"/>
          <w:sz w:val="21"/>
          <w:szCs w:val="21"/>
        </w:rPr>
        <w:t xml:space="preserve">Hunden overlates til fôrverten uten vederlag. Oppdretteren beholder eiendomsretten til hunden og retten til å bruke den i avl inntil vilkårene i punkt 4 er oppfylt eller fristen i punkt 5 er utløpt. Hunden bor hos fôrverten, som har det daglige ansvaret. Fôrverten kan ikke selge, overdra, pantsette eller avle på hunden uten oppdretterens skriftlige samtykke.</w:t>
      </w:r>
    </w:p>
    <w:p>
      <w:pPr>
        <w:pStyle w:val="Heading2"/>
        <w:spacing w:after="80" w:before="240"/>
      </w:pPr>
      <w:r>
        <w:rPr>
          <w:b/>
          <w:bCs/>
          <w:color w:val="0F172A"/>
          <w:sz w:val="25"/>
          <w:szCs w:val="25"/>
        </w:rPr>
        <w:t xml:space="preserve">4. Avlsretten</w:t>
      </w:r>
    </w:p>
    <w:p>
      <w:pPr>
        <w:spacing w:after="80"/>
      </w:pPr>
      <w:r>
        <w:rPr>
          <w:color w:val="334155"/>
          <w:sz w:val="21"/>
          <w:szCs w:val="21"/>
        </w:rPr>
        <w:t xml:space="preserve">Oppdretteren forbeholder seg følgende avlsrett (NKK anbefaler maksimalt to kull for tispe og maksimalt seks parringer for hannhund):</w:t>
      </w:r>
    </w:p>
    <w:p>
      <w:pPr>
        <w:spacing w:after="0" w:before="120"/>
      </w:pPr>
      <w:r>
        <w:rPr>
          <w:color w:val="64748B"/>
          <w:sz w:val="19"/>
          <w:szCs w:val="19"/>
        </w:rPr>
        <w:t xml:space="preserve">Antall kull (tispe) / parringer (hannhund)</w:t>
      </w:r>
    </w:p>
    <w:p>
      <w:pPr>
        <w:pBdr>
          <w:bottom w:val="single" w:color="CBD5E1" w:sz="6" w:space="4"/>
        </w:pBdr>
        <w:spacing w:after="140" w:before="40"/>
      </w:pPr>
      <w:r>
        <w:t xml:space="preserve"> </w:t>
      </w:r>
    </w:p>
    <w:p>
      <w:pPr>
        <w:spacing w:after="0" w:before="120"/>
      </w:pPr>
      <w:r>
        <w:rPr>
          <w:color w:val="64748B"/>
          <w:sz w:val="19"/>
          <w:szCs w:val="19"/>
        </w:rPr>
        <w:t xml:space="preserve">Hva som teller som kull (f.eks. minst én levende valp som lever til 8 uker)</w:t>
      </w:r>
    </w:p>
    <w:p>
      <w:pPr>
        <w:pBdr>
          <w:bottom w:val="single" w:color="CBD5E1" w:sz="6" w:space="4"/>
        </w:pBdr>
        <w:spacing w:after="140" w:before="40"/>
      </w:pPr>
      <w:r>
        <w:t xml:space="preserve"> </w:t>
      </w:r>
    </w:p>
    <w:p>
      <w:pPr>
        <w:spacing w:after="0" w:before="120"/>
      </w:pPr>
      <w:r>
        <w:rPr>
          <w:color w:val="64748B"/>
          <w:sz w:val="19"/>
          <w:szCs w:val="19"/>
        </w:rPr>
        <w:t xml:space="preserve">Rett til å stille hunden på utstilling/prøver (ja/nei)</w:t>
      </w:r>
    </w:p>
    <w:p>
      <w:pPr>
        <w:pBdr>
          <w:bottom w:val="single" w:color="CBD5E1" w:sz="6" w:space="4"/>
        </w:pBdr>
        <w:spacing w:after="140" w:before="40"/>
      </w:pPr>
      <w:r>
        <w:t xml:space="preserve"> </w:t>
      </w:r>
    </w:p>
    <w:p>
      <w:pPr>
        <w:spacing w:after="80"/>
      </w:pPr>
      <w:r>
        <w:rPr>
          <w:color w:val="334155"/>
          <w:sz w:val="21"/>
          <w:szCs w:val="21"/>
        </w:rPr>
        <w:t xml:space="preserve">Oppdretteren disponerer hunden i forbindelse med helseundersøkelser for avl, parring, valping og oppfostring av valper. Tispen oppholder seg hos oppdretteren i forbindelse med valping og til valpene er levert, med mindre annet avtales:</w:t>
      </w:r>
    </w:p>
    <w:p>
      <w:pPr>
        <w:spacing w:after="0" w:before="120"/>
      </w:pPr>
      <w:r>
        <w:rPr>
          <w:color w:val="64748B"/>
          <w:sz w:val="19"/>
          <w:szCs w:val="19"/>
        </w:rPr>
        <w:t xml:space="preserve">Varsel før henting (antall dager)</w:t>
      </w:r>
    </w:p>
    <w:p>
      <w:pPr>
        <w:pBdr>
          <w:bottom w:val="single" w:color="CBD5E1" w:sz="6" w:space="4"/>
        </w:pBdr>
        <w:spacing w:after="140" w:before="40"/>
      </w:pPr>
      <w:r>
        <w:t xml:space="preserve"> </w:t>
      </w:r>
    </w:p>
    <w:p>
      <w:pPr>
        <w:spacing w:after="0" w:before="120"/>
      </w:pPr>
      <w:r>
        <w:rPr>
          <w:color w:val="64748B"/>
          <w:sz w:val="19"/>
          <w:szCs w:val="19"/>
        </w:rPr>
        <w:t xml:space="preserve">Perioder hunden oppholder seg hos oppdretter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Overgang av eiendomsretten</w:t>
      </w:r>
    </w:p>
    <w:p>
      <w:pPr>
        <w:spacing w:after="80"/>
      </w:pPr>
      <w:r>
        <w:rPr>
          <w:color w:val="334155"/>
          <w:sz w:val="21"/>
          <w:szCs w:val="21"/>
        </w:rPr>
        <w:t xml:space="preserve">Eiendomsretten går over til fôrverten uten vederlag når avlsretten i punkt 4 er brukt, eller senest når fristen nedenfor er utløpt – uavhengig av om oppdretteren da har brukt retten. Partene melder eierskifte til NKK når eiendomsretten går over.</w:t>
      </w:r>
    </w:p>
    <w:p>
      <w:pPr>
        <w:spacing w:after="0" w:before="120"/>
      </w:pPr>
      <w:r>
        <w:rPr>
          <w:color w:val="64748B"/>
          <w:sz w:val="19"/>
          <w:szCs w:val="19"/>
        </w:rPr>
        <w:t xml:space="preserve">Siste frist for bruk av avlsretten (dato eller hundens alder)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Kostnader</w:t>
      </w:r>
    </w:p>
    <w:p>
      <w:pPr>
        <w:spacing w:after="80"/>
      </w:pPr>
      <w:r>
        <w:rPr>
          <w:color w:val="334155"/>
          <w:sz w:val="21"/>
          <w:szCs w:val="21"/>
        </w:rPr>
        <w:t xml:space="preserve">Med mindre annet er angitt nedenfor, dekker fôrverten de daglige kostnadene ved hundeholdet (fôr, utstyr, vaksiner, ordinær veterinærbehandling og forsikring), mens oppdretteren dekker alle kostnader knyttet til avlen (helseundersøkelser som kreves for avl, parring og reise i den forbindelse, valping og oppfostring av kull).</w:t>
      </w:r>
    </w:p>
    <w:p>
      <w:pPr>
        <w:spacing w:after="0" w:before="120"/>
      </w:pPr>
      <w:r>
        <w:rPr>
          <w:color w:val="64748B"/>
          <w:sz w:val="19"/>
          <w:szCs w:val="19"/>
        </w:rPr>
        <w:t xml:space="preserve">Avvikende kostnadsfordeling</w:t>
      </w:r>
    </w:p>
    <w:p>
      <w:pPr>
        <w:pBdr>
          <w:bottom w:val="single" w:color="CBD5E1" w:sz="6" w:space="4"/>
        </w:pBdr>
        <w:spacing w:after="140" w:before="40"/>
      </w:pPr>
      <w:r>
        <w:t xml:space="preserve"> </w:t>
      </w:r>
    </w:p>
    <w:p>
      <w:pPr>
        <w:spacing w:after="0" w:before="120"/>
      </w:pPr>
      <w:r>
        <w:rPr>
          <w:color w:val="64748B"/>
          <w:sz w:val="19"/>
          <w:szCs w:val="19"/>
        </w:rPr>
        <w:t xml:space="preserve">Ekstraordinære veterinærkostnader (ulykke/sykdom) dekkes av</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Forsikring og ansvar</w:t>
      </w:r>
    </w:p>
    <w:p>
      <w:pPr>
        <w:spacing w:after="80"/>
      </w:pPr>
      <w:r>
        <w:rPr>
          <w:color w:val="334155"/>
          <w:sz w:val="21"/>
          <w:szCs w:val="21"/>
        </w:rPr>
        <w:t xml:space="preserve">Eier og innehaver av hund har objektivt ansvar for visse skader hunden volder, jf. skadeserstatningsloven § 1-5. Partene avklarer forsikringsdekningen nedenfor og melder fra til forsikringsselskapet om fôrvertforholdet.</w:t>
      </w:r>
    </w:p>
    <w:p>
      <w:pPr>
        <w:spacing w:after="0" w:before="120"/>
      </w:pPr>
      <w:r>
        <w:rPr>
          <w:color w:val="64748B"/>
          <w:sz w:val="19"/>
          <w:szCs w:val="19"/>
        </w:rPr>
        <w:t xml:space="preserve">Livs-/veterinærforsikring tegnes og betales av</w:t>
      </w:r>
    </w:p>
    <w:p>
      <w:pPr>
        <w:pBdr>
          <w:bottom w:val="single" w:color="CBD5E1" w:sz="6" w:space="4"/>
        </w:pBdr>
        <w:spacing w:after="140" w:before="40"/>
      </w:pPr>
      <w:r>
        <w:t xml:space="preserve"> </w:t>
      </w:r>
    </w:p>
    <w:p>
      <w:pPr>
        <w:spacing w:after="0" w:before="120"/>
      </w:pPr>
      <w:r>
        <w:rPr>
          <w:color w:val="64748B"/>
          <w:sz w:val="19"/>
          <w:szCs w:val="19"/>
        </w:rPr>
        <w:t xml:space="preserve">Ansvarsdekning (f.eks. innbo-/ansvarsforsikring) hos</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Fôrvertens plikter</w:t>
      </w:r>
    </w:p>
    <w:p>
      <w:pPr>
        <w:spacing w:after="40"/>
      </w:pPr>
      <w:r>
        <w:rPr>
          <w:color w:val="334155"/>
          <w:sz w:val="21"/>
          <w:szCs w:val="21"/>
        </w:rPr>
        <w:t xml:space="preserve">•  Behandle hunden forsvarlig og gi den tilsyn, stell, mosjon og nødvendig veterinærbehandling i samsvar med dyrevelferdsloven §§ 6 og 24</w:t>
      </w:r>
    </w:p>
    <w:p>
      <w:pPr>
        <w:spacing w:after="40"/>
      </w:pPr>
      <w:r>
        <w:rPr>
          <w:color w:val="334155"/>
          <w:sz w:val="21"/>
          <w:szCs w:val="21"/>
        </w:rPr>
        <w:t xml:space="preserve">•  Holde hunden i god kondisjon og avlsmessig stand, og følge oppdretters rimelige anvisninger om fôring og hold</w:t>
      </w:r>
    </w:p>
    <w:p>
      <w:pPr>
        <w:spacing w:after="40"/>
      </w:pPr>
      <w:r>
        <w:rPr>
          <w:color w:val="334155"/>
          <w:sz w:val="21"/>
          <w:szCs w:val="21"/>
        </w:rPr>
        <w:t xml:space="preserve">•  Ikke la hunden pare seg – tispe skal holdes forsvarlig adskilt under løpetid</w:t>
      </w:r>
    </w:p>
    <w:p>
      <w:pPr>
        <w:spacing w:after="40"/>
      </w:pPr>
      <w:r>
        <w:rPr>
          <w:color w:val="334155"/>
          <w:sz w:val="21"/>
          <w:szCs w:val="21"/>
        </w:rPr>
        <w:t xml:space="preserve">•  Varsle oppdretter uten ugrunnet opphold ved alvorlig sykdom, skade eller løpetid, og ved adresseendring</w:t>
      </w:r>
    </w:p>
    <w:p>
      <w:pPr>
        <w:spacing w:after="40"/>
      </w:pPr>
      <w:r>
        <w:rPr>
          <w:color w:val="334155"/>
          <w:sz w:val="21"/>
          <w:szCs w:val="21"/>
        </w:rPr>
        <w:t xml:space="preserve">•  Stille hunden til rådighet for oppdretter til avtalt parring, valping og helseundersøkelser</w:t>
      </w:r>
    </w:p>
    <w:p>
      <w:pPr>
        <w:pStyle w:val="Heading2"/>
        <w:spacing w:after="80" w:before="240"/>
      </w:pPr>
      <w:r>
        <w:rPr>
          <w:b/>
          <w:bCs/>
          <w:color w:val="0F172A"/>
          <w:sz w:val="25"/>
          <w:szCs w:val="25"/>
        </w:rPr>
        <w:t xml:space="preserve">9. Oppdretterens plikter</w:t>
      </w:r>
    </w:p>
    <w:p>
      <w:pPr>
        <w:spacing w:after="40"/>
      </w:pPr>
      <w:r>
        <w:rPr>
          <w:color w:val="334155"/>
          <w:sz w:val="21"/>
          <w:szCs w:val="21"/>
        </w:rPr>
        <w:t xml:space="preserve">•  Varsle fôrverten i rimelig tid før hunden skal disponeres, og dekke kostnadene ved avlen etter punkt 6</w:t>
      </w:r>
    </w:p>
    <w:p>
      <w:pPr>
        <w:spacing w:after="40"/>
      </w:pPr>
      <w:r>
        <w:rPr>
          <w:color w:val="334155"/>
          <w:sz w:val="21"/>
          <w:szCs w:val="21"/>
        </w:rPr>
        <w:t xml:space="preserve">•  Levere hunden tilbake til fôrverten så snart formålet med disponeringen er gjennomført</w:t>
      </w:r>
    </w:p>
    <w:p>
      <w:pPr>
        <w:spacing w:after="40"/>
      </w:pPr>
      <w:r>
        <w:rPr>
          <w:color w:val="334155"/>
          <w:sz w:val="21"/>
          <w:szCs w:val="21"/>
        </w:rPr>
        <w:t xml:space="preserve">•  Melde eierskifte til NKK uten ugrunnet opphold når eiendomsretten går over etter punkt 5</w:t>
      </w:r>
    </w:p>
    <w:p>
      <w:pPr>
        <w:pStyle w:val="Heading2"/>
        <w:spacing w:after="80" w:before="240"/>
      </w:pPr>
      <w:r>
        <w:rPr>
          <w:b/>
          <w:bCs/>
          <w:color w:val="0F172A"/>
          <w:sz w:val="25"/>
          <w:szCs w:val="25"/>
        </w:rPr>
        <w:t xml:space="preserve">10. Mislighold</w:t>
      </w:r>
    </w:p>
    <w:p>
      <w:pPr>
        <w:spacing w:after="80"/>
      </w:pPr>
      <w:r>
        <w:rPr>
          <w:color w:val="334155"/>
          <w:sz w:val="21"/>
          <w:szCs w:val="21"/>
        </w:rPr>
        <w:t xml:space="preserve">Ved vesentlig mislighold fra fôrverten – herunder uforsvarlig behandling av hunden, avl uten samtykke, videre overdragelse eller at hunden ikke stilles til rådighet etter punkt 4 – kan oppdretteren heve avtalen og kreve hunden tilbakelevert uten vederlag. Ved vesentlig mislighold fra oppdretteren, eller dersom avlsretten ikke er brukt innen fristen i punkt 5, går eiendomsretten over til fôrverten. Tvister søkes løst i minnelighet før de bringes inn for forliksrådet eller domstolene.</w:t>
      </w:r>
    </w:p>
    <w:p>
      <w:pPr>
        <w:pStyle w:val="Heading2"/>
        <w:spacing w:after="80" w:before="240"/>
      </w:pPr>
      <w:r>
        <w:rPr>
          <w:b/>
          <w:bCs/>
          <w:color w:val="0F172A"/>
          <w:sz w:val="25"/>
          <w:szCs w:val="25"/>
        </w:rPr>
        <w:t xml:space="preserve">11.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Oppdretter (eier) (signatur)</w:t>
      </w:r>
    </w:p>
    <w:p>
      <w:pPr>
        <w:pBdr>
          <w:bottom w:val="single" w:color="CBD5E1" w:sz="6" w:space="4"/>
        </w:pBdr>
        <w:spacing w:after="20" w:before="320"/>
      </w:pPr>
      <w:r>
        <w:t xml:space="preserve"> </w:t>
      </w:r>
    </w:p>
    <w:p>
      <w:pPr>
        <w:spacing w:after="60"/>
      </w:pPr>
      <w:r>
        <w:rPr>
          <w:color w:val="64748B"/>
          <w:sz w:val="18"/>
          <w:szCs w:val="18"/>
        </w:rPr>
        <w:t xml:space="preserve">Sted og dato — Fôrvert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Fôrvertavtale for hund</dc:title>
  <dc:creator>esigner.no</dc:creator>
  <dc:description>Fôrvertavtale for hund: oppdretter beholder avlsretten, fôrverten overtar det daglige ansvaret. Kostnader, forsikring og eierovergang. Gratis PDF, BankID.</dc:description>
  <cp:lastModifiedBy>Un-named</cp:lastModifiedBy>
  <cp:revision>1</cp:revision>
  <dcterms:created xsi:type="dcterms:W3CDTF">2026-07-08T11:38:29.051Z</dcterms:created>
  <dcterms:modified xsi:type="dcterms:W3CDTF">2026-07-08T11:38:29.051Z</dcterms:modified>
</cp:coreProperties>
</file>

<file path=docProps/custom.xml><?xml version="1.0" encoding="utf-8"?>
<Properties xmlns="http://schemas.openxmlformats.org/officeDocument/2006/custom-properties" xmlns:vt="http://schemas.openxmlformats.org/officeDocument/2006/docPropsVTypes"/>
</file>