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Pantedokument — salgspant i løsøre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Salgspant etter panteloven §§ 3-14 flg. Avtales senest ved overleveringen.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Partene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Panthaver (selger/långiver)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Fødselsdato / org.nr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Pantsetter (kjøper/debitor)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Fødselsdato / org.nr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Kravet som sikres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Grunnlag (kjøpekontrakt/finansieringsavtale, dato)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Hovedstol (kr)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Eventuell rente og omkostninger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Pantobjektet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Beskrivelse av gjenstanden (type, merke, modell)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Identifikasjon (serienummer; for kjøretøy: reg.nr og understellsnummer/VIN)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Salgspant</w:t>
      </w:r>
    </w:p>
    <w:p>
      <w:pPr>
        <w:spacing w:after="80"/>
      </w:pPr>
      <w:r>
        <w:rPr>
          <w:color w:val="334155"/>
          <w:sz w:val="21"/>
          <w:szCs w:val="21"/>
        </w:rPr>
        <w:t xml:space="preserve">Til sikkerhet for kravet i punkt 2 avtales salgspant i gjenstanden i punkt 3, jf. panteloven § 3-14. Avtalen er inngått senest samtidig med at gjenstanden overleveres pantsetteren, jf. § 3-17. Pantsetteren kan ikke selge, pantsette på nytt eller på annen måte forføye rettslig over gjenstanden uten panthavers skriftlige samtykke så lenge kravet ikke er innfridd.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Rettsvern og tinglysing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Pantobjektet er en motorvogn — salgspantet tinglyses i Løsøreregisteret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Pantobjektet er annet løsøre — tinglysing er ikke nødvendig for rettsvern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Hvem besørger tinglysingen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Hvem betaler tinglysingsgebyret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Innfrielse og sletting</w:t>
      </w:r>
    </w:p>
    <w:p>
      <w:pPr>
        <w:spacing w:after="80"/>
      </w:pPr>
      <w:r>
        <w:rPr>
          <w:color w:val="334155"/>
          <w:sz w:val="21"/>
          <w:szCs w:val="21"/>
        </w:rPr>
        <w:t xml:space="preserve">Når kravet med rente og omkostninger er fullt innfridd, faller panteretten bort. Panthaver skal uten ugrunnet opphold sørge for at et tinglyst salgspant slettes i Løsøreregisteret.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7. Mislighold</w:t>
      </w:r>
    </w:p>
    <w:p>
      <w:pPr>
        <w:spacing w:after="80"/>
      </w:pPr>
      <w:r>
        <w:rPr>
          <w:color w:val="334155"/>
          <w:sz w:val="21"/>
          <w:szCs w:val="21"/>
        </w:rPr>
        <w:t xml:space="preserve">Ved vesentlig mislighold av kravet kan panthaver kreve dekning i pantobjektet etter reglene i tvangsfullbyrdelsesloven. I forbrukerforhold gjelder i tillegg reglene om tilbakelevering i finansavtaleloven.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8. Signatur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Panthaver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Pantsetter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Pantedokument — salgspant i løsøre</dc:title>
  <dc:creator>esigner.no</dc:creator>
  <dc:description>Gratis pantedokument for salgspant i løsøre — bil, båt, maskiner eller annet utstyr. Pantekrav, pantobjekt, rettsvern og sletting. PDF eller Word.</dc:description>
  <cp:lastModifiedBy>Un-named</cp:lastModifiedBy>
  <cp:revision>1</cp:revision>
  <dcterms:created xsi:type="dcterms:W3CDTF">2026-06-12T14:22:54.293Z</dcterms:created>
  <dcterms:modified xsi:type="dcterms:W3CDTF">2026-06-12T14:22:54.293Z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