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Gjensidig taushetserklæring</w:t>
      </w:r>
    </w:p>
    <w:p>
      <w:pPr>
        <w:spacing w:after="160"/>
      </w:pPr>
      <w:r>
        <w:rPr>
          <w:i/>
          <w:iCs/>
          <w:color w:val="64748B"/>
          <w:sz w:val="20"/>
          <w:szCs w:val="20"/>
        </w:rPr>
        <w:t xml:space="preserve">Avtale om utveksling av konfidensiell informasjon mellom to parter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taushetserklæringen ("Avtalen") er inngått mellom følgende parter, heretter omtalt som Part A og Part B, samlet benevnt "Partene".</w:t>
      </w:r>
    </w:p>
    <w:p>
      <w:pPr>
        <w:spacing w:after="80"/>
      </w:pPr>
      <w:r>
        <w:rPr>
          <w:color w:val="334155"/>
          <w:sz w:val="21"/>
          <w:szCs w:val="21"/>
        </w:rPr>
        <w:t xml:space="preserve">Part A</w:t>
      </w:r>
    </w:p>
    <w:p>
      <w:pPr>
        <w:spacing w:after="0" w:before="120"/>
      </w:pPr>
      <w:r>
        <w:rPr>
          <w:color w:val="64748B"/>
          <w:sz w:val="19"/>
          <w:szCs w:val="19"/>
        </w:rPr>
        <w:t xml:space="preserve">Virksomhetens navn / Navn</w:t>
      </w:r>
    </w:p>
    <w:p>
      <w:pPr>
        <w:pBdr>
          <w:bottom w:val="single" w:color="CBD5E1" w:sz="6" w:space="4"/>
        </w:pBdr>
        <w:spacing w:after="140" w:before="40"/>
      </w:pPr>
      <w:r>
        <w:t xml:space="preserve"> </w:t>
      </w:r>
    </w:p>
    <w:p>
      <w:pPr>
        <w:spacing w:after="0" w:before="120"/>
      </w:pPr>
      <w:r>
        <w:rPr>
          <w:color w:val="64748B"/>
          <w:sz w:val="19"/>
          <w:szCs w:val="19"/>
        </w:rPr>
        <w:t xml:space="preserve">Organisasjonsnummer / 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Part B</w:t>
      </w:r>
    </w:p>
    <w:p>
      <w:pPr>
        <w:spacing w:after="0" w:before="120"/>
      </w:pPr>
      <w:r>
        <w:rPr>
          <w:color w:val="64748B"/>
          <w:sz w:val="19"/>
          <w:szCs w:val="19"/>
        </w:rPr>
        <w:t xml:space="preserve">Virksomhetens navn / Navn</w:t>
      </w:r>
    </w:p>
    <w:p>
      <w:pPr>
        <w:pBdr>
          <w:bottom w:val="single" w:color="CBD5E1" w:sz="6" w:space="4"/>
        </w:pBdr>
        <w:spacing w:after="140" w:before="40"/>
      </w:pPr>
      <w:r>
        <w:t xml:space="preserve"> </w:t>
      </w:r>
    </w:p>
    <w:p>
      <w:pPr>
        <w:spacing w:after="0" w:before="120"/>
      </w:pPr>
      <w:r>
        <w:rPr>
          <w:color w:val="64748B"/>
          <w:sz w:val="19"/>
          <w:szCs w:val="19"/>
        </w:rPr>
        <w:t xml:space="preserve">Organisasjonsnummer / Fødselsnummer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Formål</w:t>
      </w:r>
    </w:p>
    <w:p>
      <w:pPr>
        <w:spacing w:after="80"/>
      </w:pPr>
      <w:r>
        <w:rPr>
          <w:color w:val="334155"/>
          <w:sz w:val="21"/>
          <w:szCs w:val="21"/>
        </w:rPr>
        <w:t xml:space="preserve">Partene skal utveksle konfidensiell informasjon i forbindelse med følgende formål ("Formålet"). Informasjon utvekslet under Avtalen skal kun benyttes til dette Formålet.</w:t>
      </w:r>
    </w:p>
    <w:p>
      <w:pPr>
        <w:spacing w:after="0" w:before="120"/>
      </w:pPr>
      <w:r>
        <w:rPr>
          <w:color w:val="64748B"/>
          <w:sz w:val="19"/>
          <w:szCs w:val="19"/>
        </w:rPr>
        <w:t xml:space="preserve">Beskrivelse av formålet (f.eks. vurdering av samarbeid, due diligence, leverandørforhandlinger)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Definisjon av konfidensiell informasjon</w:t>
      </w:r>
    </w:p>
    <w:p>
      <w:pPr>
        <w:spacing w:after="80"/>
      </w:pPr>
      <w:r>
        <w:rPr>
          <w:color w:val="334155"/>
          <w:sz w:val="21"/>
          <w:szCs w:val="21"/>
        </w:rPr>
        <w:t xml:space="preserve">Med "Konfidensiell informasjon" menes enhver opplysning av teknisk, kommersiell, økonomisk, organisatorisk eller annen art som en Part ("Avgivende part") gjør tilgjengelig for den andre Parten ("Mottakende part"), uavhengig av form, og uansett om informasjonen er merket som konfidensiell. Dette omfatter blant annet forretningshemmeligheter etter forretningshemmelighetsloven § 2, kundedata, prislister, tekniske spesifikasjoner, kildekode, forretningsplaner og personopplysninger.</w:t>
      </w:r>
    </w:p>
    <w:p>
      <w:pPr>
        <w:pStyle w:val="Heading2"/>
        <w:spacing w:after="80" w:before="240"/>
      </w:pPr>
      <w:r>
        <w:rPr>
          <w:b/>
          <w:bCs/>
          <w:color w:val="0F172A"/>
          <w:sz w:val="25"/>
          <w:szCs w:val="25"/>
        </w:rPr>
        <w:t xml:space="preserve">4. Unntak</w:t>
      </w:r>
    </w:p>
    <w:p>
      <w:pPr>
        <w:spacing w:after="80"/>
      </w:pPr>
      <w:r>
        <w:rPr>
          <w:color w:val="334155"/>
          <w:sz w:val="21"/>
          <w:szCs w:val="21"/>
        </w:rPr>
        <w:t xml:space="preserve">Taushetsplikten gjelder ikke informasjon som Mottakende part kan dokumentere:</w:t>
      </w:r>
    </w:p>
    <w:p>
      <w:pPr>
        <w:spacing w:after="40"/>
      </w:pPr>
      <w:r>
        <w:rPr>
          <w:color w:val="334155"/>
          <w:sz w:val="21"/>
          <w:szCs w:val="21"/>
        </w:rPr>
        <w:t xml:space="preserve">•  var alminnelig kjent eller offentlig tilgjengelig før mottak, eller senere blir det uten brudd på Avtalen</w:t>
      </w:r>
    </w:p>
    <w:p>
      <w:pPr>
        <w:spacing w:after="40"/>
      </w:pPr>
      <w:r>
        <w:rPr>
          <w:color w:val="334155"/>
          <w:sz w:val="21"/>
          <w:szCs w:val="21"/>
        </w:rPr>
        <w:t xml:space="preserve">•  var rettmessig i Mottakende parts besittelse før mottak fra Avgivende part</w:t>
      </w:r>
    </w:p>
    <w:p>
      <w:pPr>
        <w:spacing w:after="40"/>
      </w:pPr>
      <w:r>
        <w:rPr>
          <w:color w:val="334155"/>
          <w:sz w:val="21"/>
          <w:szCs w:val="21"/>
        </w:rPr>
        <w:t xml:space="preserve">•  er rettmessig mottatt fra tredjepart uten taushetsplikt</w:t>
      </w:r>
    </w:p>
    <w:p>
      <w:pPr>
        <w:spacing w:after="40"/>
      </w:pPr>
      <w:r>
        <w:rPr>
          <w:color w:val="334155"/>
          <w:sz w:val="21"/>
          <w:szCs w:val="21"/>
        </w:rPr>
        <w:t xml:space="preserve">•  er utviklet selvstendig av Mottakende part uten bruk av Konfidensiell informasjon</w:t>
      </w:r>
    </w:p>
    <w:p>
      <w:pPr>
        <w:spacing w:after="40"/>
      </w:pPr>
      <w:r>
        <w:rPr>
          <w:color w:val="334155"/>
          <w:sz w:val="21"/>
          <w:szCs w:val="21"/>
        </w:rPr>
        <w:t xml:space="preserve">•  skal utleveres etter lov, forskrift eller pålegg fra offentlig myndighet eller domstol</w:t>
      </w:r>
    </w:p>
    <w:p>
      <w:pPr>
        <w:pStyle w:val="Heading2"/>
        <w:spacing w:after="80" w:before="240"/>
      </w:pPr>
      <w:r>
        <w:rPr>
          <w:b/>
          <w:bCs/>
          <w:color w:val="0F172A"/>
          <w:sz w:val="25"/>
          <w:szCs w:val="25"/>
        </w:rPr>
        <w:t xml:space="preserve">5. Bruk og behandling</w:t>
      </w:r>
    </w:p>
    <w:p>
      <w:pPr>
        <w:spacing w:after="80"/>
      </w:pPr>
      <w:r>
        <w:rPr>
          <w:color w:val="334155"/>
          <w:sz w:val="21"/>
          <w:szCs w:val="21"/>
        </w:rPr>
        <w:t xml:space="preserve">Mottakende part skal behandle Konfidensiell informasjon med minst samme aktsomhet som egen tilsvarende informasjon, og uansett ikke med mindre enn alminnelig forretningsmessig aktsomhet. Informasjonen kan kun deles internt med ansatte, styremedlemmer, rådgivere og underleverandører som har et begrunnet behov for kjennskap ("need to know"), og som er underlagt minst like streng taushetsplikt.</w:t>
      </w:r>
    </w:p>
    <w:p>
      <w:pPr>
        <w:spacing w:after="40"/>
      </w:pPr>
      <w:r>
        <w:rPr>
          <w:color w:val="334155"/>
          <w:sz w:val="21"/>
          <w:szCs w:val="21"/>
        </w:rPr>
        <w:t xml:space="preserve">☐  Mottakende part kan dele informasjon med eksterne rådgivere (advokat, revisor) underlagt lovbestemt taushetsplikt</w:t>
      </w:r>
    </w:p>
    <w:p>
      <w:pPr>
        <w:spacing w:after="40"/>
      </w:pPr>
      <w:r>
        <w:rPr>
          <w:color w:val="334155"/>
          <w:sz w:val="21"/>
          <w:szCs w:val="21"/>
        </w:rPr>
        <w:t xml:space="preserve">☐  Underleverandører må signere egen taushetserklæring før de gis tilgang</w:t>
      </w:r>
    </w:p>
    <w:p>
      <w:pPr>
        <w:spacing w:after="40"/>
      </w:pPr>
      <w:r>
        <w:rPr>
          <w:color w:val="334155"/>
          <w:sz w:val="21"/>
          <w:szCs w:val="21"/>
        </w:rPr>
        <w:t xml:space="preserve">☐  All deling skal logges på forespørsel fra Avgivende part</w:t>
      </w:r>
    </w:p>
    <w:p>
      <w:pPr>
        <w:pStyle w:val="Heading2"/>
        <w:spacing w:after="80" w:before="240"/>
      </w:pPr>
      <w:r>
        <w:rPr>
          <w:b/>
          <w:bCs/>
          <w:color w:val="0F172A"/>
          <w:sz w:val="25"/>
          <w:szCs w:val="25"/>
        </w:rPr>
        <w:t xml:space="preserve">6. Varighet</w:t>
      </w:r>
    </w:p>
    <w:p>
      <w:pPr>
        <w:spacing w:after="80"/>
      </w:pPr>
      <w:r>
        <w:rPr>
          <w:color w:val="334155"/>
          <w:sz w:val="21"/>
          <w:szCs w:val="21"/>
        </w:rPr>
        <w:t xml:space="preserve">Taushetsplikten gjelder fra Avtalens signeringsdato og i 3 (tre) år etter at det underliggende forretningsforholdet eller Formålet er avsluttet, med mindre Partene avtaler annet nedenfor. For forretningshemmeligheter etter forretningshemmelighetsloven gjelder taushetsplikten så lenge informasjonen oppfyller lovens vilkår.</w:t>
      </w:r>
    </w:p>
    <w:p>
      <w:pPr>
        <w:spacing w:after="0" w:before="120"/>
      </w:pPr>
      <w:r>
        <w:rPr>
          <w:color w:val="64748B"/>
          <w:sz w:val="19"/>
          <w:szCs w:val="19"/>
        </w:rPr>
        <w:t xml:space="preserve">Avtalens startdato</w:t>
      </w:r>
    </w:p>
    <w:p>
      <w:pPr>
        <w:pBdr>
          <w:bottom w:val="single" w:color="CBD5E1" w:sz="6" w:space="4"/>
        </w:pBdr>
        <w:spacing w:after="140" w:before="40"/>
      </w:pPr>
      <w:r>
        <w:t xml:space="preserve"> </w:t>
      </w:r>
    </w:p>
    <w:p>
      <w:pPr>
        <w:spacing w:after="0" w:before="120"/>
      </w:pPr>
      <w:r>
        <w:rPr>
          <w:color w:val="64748B"/>
          <w:sz w:val="19"/>
          <w:szCs w:val="19"/>
        </w:rPr>
        <w:t xml:space="preserve">Avvikende varighet (valgfritt, f.eks. 5 år)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Retur og sletting</w:t>
      </w:r>
    </w:p>
    <w:p>
      <w:pPr>
        <w:spacing w:after="80"/>
      </w:pPr>
      <w:r>
        <w:rPr>
          <w:color w:val="334155"/>
          <w:sz w:val="21"/>
          <w:szCs w:val="21"/>
        </w:rPr>
        <w:t xml:space="preserve">Senest 30 dager etter skriftlig krav fra Avgivende part, eller ved Avtalens opphør, skal Mottakende part returnere eller varig slette all Konfidensiell informasjon, inkludert kopier og avledede arbeider. Sletting skal bekreftes skriftlig. Mottakende part kan beholde én kopi i arkiv for å oppfylle lov- eller revisjonsmessige krav, så lenge taushetsplikten opprettholdes.</w:t>
      </w:r>
    </w:p>
    <w:p>
      <w:pPr>
        <w:pStyle w:val="Heading2"/>
        <w:spacing w:after="80" w:before="240"/>
      </w:pPr>
      <w:r>
        <w:rPr>
          <w:b/>
          <w:bCs/>
          <w:color w:val="0F172A"/>
          <w:sz w:val="25"/>
          <w:szCs w:val="25"/>
        </w:rPr>
        <w:t xml:space="preserve">8. Eiendomsrett</w:t>
      </w:r>
    </w:p>
    <w:p>
      <w:pPr>
        <w:spacing w:after="80"/>
      </w:pPr>
      <w:r>
        <w:rPr>
          <w:color w:val="334155"/>
          <w:sz w:val="21"/>
          <w:szCs w:val="21"/>
        </w:rPr>
        <w:t xml:space="preserve">Konfidensiell informasjon forblir Avgivende parts eiendom. Avtalen overfører ingen rettigheter, lisenser eller eierskap til immaterielle rettigheter, med mindre dette er uttrykkelig avtalt skriftlig.</w:t>
      </w:r>
    </w:p>
    <w:p>
      <w:pPr>
        <w:pStyle w:val="Heading2"/>
        <w:spacing w:after="80" w:before="240"/>
      </w:pPr>
      <w:r>
        <w:rPr>
          <w:b/>
          <w:bCs/>
          <w:color w:val="0F172A"/>
          <w:sz w:val="25"/>
          <w:szCs w:val="25"/>
        </w:rPr>
        <w:t xml:space="preserve">9. Mislighold og sanksjoner</w:t>
      </w:r>
    </w:p>
    <w:p>
      <w:pPr>
        <w:spacing w:after="80"/>
      </w:pPr>
      <w:r>
        <w:rPr>
          <w:color w:val="334155"/>
          <w:sz w:val="21"/>
          <w:szCs w:val="21"/>
        </w:rPr>
        <w:t xml:space="preserve">Ved brudd på Avtalen kan Avgivende part kreve at bruddet opphører, samt erstatning for økonomisk tap etter alminnelige erstatningsrettslige regler. Ved brudd på forretningshemmeligheter gjelder reglene i forretningshemmelighetsloven kapittel 2, herunder forbud, korrigerende tiltak og vederlag. Partene kan avtale en konvensjonalbot ved vesentlig mislighold.</w:t>
      </w:r>
    </w:p>
    <w:p>
      <w:pPr>
        <w:spacing w:after="0" w:before="120"/>
      </w:pPr>
      <w:r>
        <w:rPr>
          <w:color w:val="64748B"/>
          <w:sz w:val="19"/>
          <w:szCs w:val="19"/>
        </w:rPr>
        <w:t xml:space="preserve">Konvensjonalbot per overtredelse i NOK (valgfritt)</w:t>
      </w:r>
    </w:p>
    <w:p>
      <w:pPr>
        <w:pBdr>
          <w:bottom w:val="single" w:color="CBD5E1" w:sz="6" w:space="4"/>
        </w:pBdr>
        <w:spacing w:after="140" w:before="40"/>
      </w:pPr>
      <w:r>
        <w:t xml:space="preserve"> </w:t>
      </w:r>
    </w:p>
    <w:p>
      <w:pPr>
        <w:spacing w:after="0" w:before="120"/>
      </w:pPr>
      <w:r>
        <w:rPr>
          <w:color w:val="64748B"/>
          <w:sz w:val="19"/>
          <w:szCs w:val="19"/>
        </w:rPr>
        <w:t xml:space="preserve">Maksimal samlet erstatning i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Personopplysninger</w:t>
      </w:r>
    </w:p>
    <w:p>
      <w:pPr>
        <w:spacing w:after="80"/>
      </w:pPr>
      <w:r>
        <w:rPr>
          <w:color w:val="334155"/>
          <w:sz w:val="21"/>
          <w:szCs w:val="21"/>
        </w:rPr>
        <w:t xml:space="preserve">Dersom utveksling av Konfidensiell informasjon innebærer behandling av personopplysninger, skal Partene inngå egen databehandleravtale i henhold til personopplysningsloven og personvernforordningen (GDPR) artikkel 28. Denne Avtalen erstatter ikke en slik databehandleravtale.</w:t>
      </w:r>
    </w:p>
    <w:p>
      <w:pPr>
        <w:pStyle w:val="Heading2"/>
        <w:spacing w:after="80" w:before="240"/>
      </w:pPr>
      <w:r>
        <w:rPr>
          <w:b/>
          <w:bCs/>
          <w:color w:val="0F172A"/>
          <w:sz w:val="25"/>
          <w:szCs w:val="25"/>
        </w:rPr>
        <w:t xml:space="preserve">11. Lovvalg og verneting</w:t>
      </w:r>
    </w:p>
    <w:p>
      <w:pPr>
        <w:spacing w:after="80"/>
      </w:pPr>
      <w:r>
        <w:rPr>
          <w:color w:val="334155"/>
          <w:sz w:val="21"/>
          <w:szCs w:val="21"/>
        </w:rPr>
        <w:t xml:space="preserve">Avtalen reguleres av norsk rett. Tvister som ikke løses i minnelighet skal avgjøres ved ordinær domstol, med følgende avtalte verneting som første instans.</w:t>
      </w:r>
    </w:p>
    <w:p>
      <w:pPr>
        <w:spacing w:after="0" w:before="120"/>
      </w:pPr>
      <w:r>
        <w:rPr>
          <w:color w:val="64748B"/>
          <w:sz w:val="19"/>
          <w:szCs w:val="19"/>
        </w:rPr>
        <w:t xml:space="preserve">Avtalt verneting (f.eks. Oslo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elektronisk i to eksemplarer, ett til hver Part, og trer i kraft når begge Partene har signert.</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Gjensidig taushetserklæring</dc:title>
  <dc:creator>esigner.no</dc:creator>
  <dc:description>Gratis mal for gjensidig taushetserklæring (NDA) på norsk. Følger forretningshemmelighetsloven, standard 3 års varighet. Fyll ut, signer med BankID.</dc:description>
  <cp:lastModifiedBy>Un-named</cp:lastModifiedBy>
  <cp:revision>1</cp:revision>
  <dcterms:created xsi:type="dcterms:W3CDTF">2026-06-03T10:13:24.249Z</dcterms:created>
  <dcterms:modified xsi:type="dcterms:W3CDTF">2026-06-03T10:13:24.249Z</dcterms:modified>
</cp:coreProperties>
</file>

<file path=docProps/custom.xml><?xml version="1.0" encoding="utf-8"?>
<Properties xmlns="http://schemas.openxmlformats.org/officeDocument/2006/custom-properties" xmlns:vt="http://schemas.openxmlformats.org/officeDocument/2006/docPropsVTypes"/>
</file>